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Calibri" w:cs="Calibri" w:hAnsi="Calibri"/>
          <w:lang w:val="en-US"/>
        </w:rPr>
      </w:pPr>
      <w:r>
        <w:rPr>
          <w:sz w:val="27"/>
          <w:szCs w:val="27"/>
          <w:lang w:val="en-US"/>
        </w:rPr>
        <w:t>For the journal article: "GPCR-G Protein-b-Arrestin Super-Complex Mediates Sustained G Protein Signaling", by Thompsen et al (2016), please address the questions below. I expect comments or attempted answers to at least two of these questions</w:t>
      </w:r>
    </w:p>
    <w:p>
      <w:pPr>
        <w:pStyle w:val="style0"/>
        <w:rPr>
          <w:rFonts w:ascii="Calibri" w:cs="Calibri" w:hAnsi="Calibri"/>
          <w:lang w:val="en-US"/>
        </w:rPr>
      </w:pPr>
    </w:p>
    <w:p>
      <w:pPr>
        <w:pStyle w:val="style0"/>
        <w:rPr>
          <w:rFonts w:ascii="Calibri" w:cs="Calibri" w:hAnsi="Calibri"/>
          <w:lang w:val="en-US"/>
        </w:rPr>
      </w:pPr>
      <w:r>
        <w:rPr>
          <w:rFonts w:ascii="Calibri" w:cs="Calibri" w:hAnsi="Calibri"/>
          <w:lang w:val="en-US"/>
        </w:rPr>
        <w:t>What mechanisms exist for terminating an extracellular signal by a ligand acting on a GPCR?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textAlignment w:val="auto"/>
        <w:rPr>
          <w:rFonts w:ascii="Calibri" w:cs="Calibri" w:hAnsi="Calibri" w:hint="default"/>
          <w:b/>
          <w:bCs/>
          <w:sz w:val="24"/>
          <w:szCs w:val="24"/>
          <w:lang w:val="en-US"/>
        </w:rPr>
      </w:pPr>
      <w:r>
        <w:rPr>
          <w:rFonts w:ascii="Calibri" w:cs="Calibri" w:hAnsi="Calibri" w:hint="default"/>
          <w:sz w:val="24"/>
          <w:szCs w:val="24"/>
          <w:lang w:val="en-US"/>
        </w:rPr>
        <w:t>T</w:t>
      </w:r>
      <w:r>
        <w:rPr>
          <w:rFonts w:ascii="Calibri" w:cs="Calibri" w:hAnsi="Calibri" w:hint="default"/>
          <w:b/>
          <w:bCs/>
          <w:sz w:val="24"/>
          <w:szCs w:val="24"/>
          <w:lang w:val="en-US"/>
        </w:rPr>
        <w:t>he mechanisms for terminating an extracellular signal by  ligand acting on a GPCR include;</w:t>
      </w:r>
    </w:p>
    <w:p>
      <w:pPr>
        <w:pStyle w:val="style0"/>
        <w:keepNext w:val="false"/>
        <w:keepLines w:val="false"/>
        <w:pageBreakBefore w:val="false"/>
        <w:widowControl/>
        <w:kinsoku/>
        <w:wordWrap/>
        <w:overflowPunct/>
        <w:topLinePunct w:val="false"/>
        <w:autoSpaceDE/>
        <w:autoSpaceDN/>
        <w:bidi w:val="false"/>
        <w:adjustRightInd/>
        <w:snapToGrid/>
        <w:spacing w:lineRule="auto" w:line="480"/>
        <w:textAlignment w:val="auto"/>
        <w:rPr>
          <w:rFonts w:ascii="Calibri" w:cs="Calibri" w:hAnsi="Calibri" w:hint="default"/>
          <w:b/>
          <w:bCs/>
          <w:sz w:val="24"/>
          <w:szCs w:val="24"/>
          <w:lang w:val="en-US"/>
        </w:rPr>
      </w:pPr>
      <w:r>
        <w:rPr>
          <w:rFonts w:ascii="Calibri" w:cs="Calibri" w:hAnsi="Calibri" w:hint="default"/>
          <w:b/>
          <w:bCs/>
          <w:sz w:val="24"/>
          <w:szCs w:val="24"/>
          <w:lang w:val="en-US"/>
        </w:rPr>
        <w:t>Degradation of the ligands  which include the peptide agonists that activate downstream signalling pathways (courses.lumenlearning.com,2020)</w:t>
      </w:r>
      <w:r>
        <w:rPr>
          <w:rFonts w:cs="Calibri" w:hAnsi="Calibri" w:hint="default"/>
          <w:b/>
          <w:bCs/>
          <w:sz w:val="24"/>
          <w:szCs w:val="24"/>
          <w:lang w:val="en-US"/>
        </w:rPr>
        <w:t>.</w:t>
      </w:r>
    </w:p>
    <w:p>
      <w:pPr>
        <w:pStyle w:val="style0"/>
        <w:keepNext w:val="false"/>
        <w:keepLines w:val="false"/>
        <w:pageBreakBefore w:val="false"/>
        <w:widowControl/>
        <w:kinsoku/>
        <w:wordWrap/>
        <w:overflowPunct/>
        <w:topLinePunct w:val="false"/>
        <w:autoSpaceDE/>
        <w:autoSpaceDN/>
        <w:bidi w:val="false"/>
        <w:adjustRightInd/>
        <w:snapToGrid/>
        <w:spacing w:lineRule="auto" w:line="480"/>
        <w:textAlignment w:val="auto"/>
        <w:rPr>
          <w:rFonts w:ascii="Calibri" w:cs="Calibri" w:hAnsi="Calibri" w:hint="default"/>
          <w:b/>
          <w:bCs/>
          <w:sz w:val="24"/>
          <w:szCs w:val="24"/>
          <w:lang w:val="en-US"/>
        </w:rPr>
      </w:pPr>
      <w:r>
        <w:rPr>
          <w:rFonts w:ascii="Calibri" w:cs="Calibri" w:hAnsi="Calibri" w:hint="default"/>
          <w:b/>
          <w:bCs/>
          <w:sz w:val="24"/>
          <w:szCs w:val="24"/>
          <w:lang w:val="en-US"/>
        </w:rPr>
        <w:t>Re-uptake of the amine dopamine from the synapses into the presynaptic neuron to be stored in vesicles for later use (courses.lumenlear</w:t>
      </w:r>
      <w:bookmarkStart w:id="0" w:name="_GoBack"/>
      <w:bookmarkEnd w:id="0"/>
      <w:r>
        <w:rPr>
          <w:rFonts w:ascii="Calibri" w:cs="Calibri" w:hAnsi="Calibri" w:hint="default"/>
          <w:b/>
          <w:bCs/>
          <w:sz w:val="24"/>
          <w:szCs w:val="24"/>
          <w:lang w:val="en-US"/>
        </w:rPr>
        <w:t>ning.com,2020).</w:t>
      </w:r>
    </w:p>
    <w:p>
      <w:pPr>
        <w:pStyle w:val="style0"/>
        <w:keepNext w:val="false"/>
        <w:keepLines w:val="false"/>
        <w:pageBreakBefore w:val="false"/>
        <w:widowControl/>
        <w:kinsoku/>
        <w:wordWrap/>
        <w:overflowPunct/>
        <w:topLinePunct w:val="false"/>
        <w:autoSpaceDE/>
        <w:autoSpaceDN/>
        <w:bidi w:val="false"/>
        <w:adjustRightInd/>
        <w:snapToGrid/>
        <w:spacing w:lineRule="auto" w:line="480"/>
        <w:textAlignment w:val="auto"/>
        <w:rPr>
          <w:rFonts w:ascii="Calibri" w:cs="Calibri" w:hAnsi="Calibri" w:hint="default"/>
          <w:b/>
          <w:bCs/>
          <w:sz w:val="24"/>
          <w:szCs w:val="24"/>
          <w:lang w:val="en-US"/>
        </w:rPr>
      </w:pPr>
      <w:r>
        <w:rPr>
          <w:rFonts w:ascii="Calibri" w:cs="Calibri" w:hAnsi="Calibri" w:hint="default"/>
          <w:b/>
          <w:bCs/>
          <w:sz w:val="24"/>
          <w:szCs w:val="24"/>
          <w:lang w:val="en-US"/>
        </w:rPr>
        <w:t xml:space="preserve">GTP- hydrolysis in which GTP is converted to the inactive GDP thus inactivating the G-protein and terminating signalling.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textAlignment w:val="auto"/>
        <w:rPr>
          <w:rFonts w:ascii="Calibri" w:cs="Calibri" w:hAnsi="Calibri" w:hint="default"/>
          <w:b/>
          <w:bCs/>
          <w:sz w:val="24"/>
          <w:szCs w:val="24"/>
          <w:lang w:val="en-US"/>
        </w:rPr>
      </w:pPr>
    </w:p>
    <w:p>
      <w:pPr>
        <w:pStyle w:val="style0"/>
        <w:rPr>
          <w:rFonts w:ascii="Calibri" w:cs="Calibri" w:hAnsi="Calibri" w:hint="default"/>
          <w:b/>
          <w:bCs/>
          <w:lang w:val="en-US"/>
        </w:rPr>
      </w:pPr>
    </w:p>
    <w:p>
      <w:pPr>
        <w:pStyle w:val="style0"/>
        <w:rPr>
          <w:rFonts w:ascii="Calibri" w:cs="Calibri" w:hAnsi="Calibri" w:hint="default"/>
          <w:lang w:val="en-US"/>
        </w:rPr>
      </w:pPr>
    </w:p>
    <w:p>
      <w:pPr>
        <w:pStyle w:val="style0"/>
        <w:rPr>
          <w:rFonts w:ascii="Calibri" w:cs="Calibri" w:hAnsi="Calibri"/>
          <w:lang w:val="en-US"/>
        </w:rPr>
      </w:pPr>
    </w:p>
    <w:p>
      <w:pPr>
        <w:pStyle w:val="style0"/>
        <w:numPr>
          <w:ilvl w:val="0"/>
          <w:numId w:val="1"/>
        </w:numPr>
        <w:spacing w:after="0" w:lineRule="auto" w:line="240"/>
        <w:rPr>
          <w:rFonts w:ascii="Calibri" w:cs="Calibri" w:eastAsia="Times New Roman" w:hAnsi="Calibri"/>
          <w:sz w:val="24"/>
          <w:szCs w:val="24"/>
          <w:lang w:val="en-US" w:eastAsia="en-CA"/>
        </w:rPr>
      </w:pPr>
      <w:r>
        <w:rPr>
          <w:rFonts w:ascii="Calibri" w:cs="Calibri" w:eastAsia="Times New Roman" w:hAnsi="Calibri"/>
          <w:sz w:val="24"/>
          <w:szCs w:val="24"/>
          <w:lang w:val="en-US" w:eastAsia="en-CA"/>
        </w:rPr>
        <w:t>What role do arrestins have on cell signalling and what determines the nature of the interaction (ie the outcome) between arrestins and GPCRs. How does this study change what was already known about the interaction of arrestins with GPCRs?</w:t>
      </w:r>
    </w:p>
    <w:p>
      <w:pPr>
        <w:pStyle w:val="style0"/>
        <w:numPr>
          <w:ilvl w:val="0"/>
          <w:numId w:val="0"/>
        </w:numPr>
        <w:tabs>
          <w:tab w:val="left" w:leader="none" w:pos="720"/>
        </w:tabs>
        <w:spacing w:after="0" w:lineRule="auto" w:line="240"/>
        <w:rPr>
          <w:rFonts w:ascii="Calibri" w:cs="Calibri" w:eastAsia="Times New Roman" w:hAnsi="Calibri"/>
          <w:sz w:val="24"/>
          <w:szCs w:val="24"/>
          <w:lang w:val="en-US" w:eastAsia="en-CA"/>
        </w:rPr>
      </w:pPr>
    </w:p>
    <w:p>
      <w:pPr>
        <w:pStyle w:val="style0"/>
        <w:keepNext w:val="false"/>
        <w:keepLines w:val="false"/>
        <w:pageBreakBefore w:val="false"/>
        <w:widowControl/>
        <w:numPr>
          <w:ilvl w:val="0"/>
          <w:numId w:val="0"/>
        </w:numPr>
        <w:kinsoku/>
        <w:wordWrap/>
        <w:overflowPunct/>
        <w:topLinePunct w:val="false"/>
        <w:autoSpaceDE/>
        <w:autoSpaceDN/>
        <w:bidi w:val="false"/>
        <w:adjustRightInd/>
        <w:snapToGrid/>
        <w:spacing w:after="0" w:lineRule="auto" w:line="480"/>
        <w:ind w:left="240" w:leftChars="109" w:firstLine="836" w:firstLineChars="348"/>
        <w:jc w:val="both"/>
        <w:textAlignment w:val="auto"/>
        <w:rPr>
          <w:rFonts w:ascii="Calibri" w:cs="Arial" w:eastAsia="Times New Roman" w:hAnsi="Arial" w:hint="default"/>
          <w:b/>
          <w:bCs/>
          <w:sz w:val="24"/>
          <w:szCs w:val="24"/>
          <w:lang w:val="en-US" w:eastAsia="en-CA"/>
        </w:rPr>
      </w:pPr>
      <w:r>
        <w:rPr>
          <w:rFonts w:ascii="Arial" w:cs="Arial" w:eastAsia="Times New Roman" w:hAnsi="Arial" w:hint="default"/>
          <w:b/>
          <w:bCs/>
          <w:sz w:val="24"/>
          <w:szCs w:val="24"/>
          <w:lang w:val="en-US" w:eastAsia="en-CA"/>
        </w:rPr>
        <w:t xml:space="preserve">β </w:t>
      </w:r>
      <w:r>
        <w:rPr>
          <w:rFonts w:ascii="Calibri" w:cs="Arial" w:eastAsia="Times New Roman" w:hAnsi="Arial" w:hint="default"/>
          <w:b/>
          <w:bCs/>
          <w:sz w:val="24"/>
          <w:szCs w:val="24"/>
          <w:lang w:val="en-US" w:eastAsia="en-CA"/>
        </w:rPr>
        <w:t>arrestins plays a role in desensetization of G- protein coupled receptors to terminate cell signalling.The Barr interacts with both the C-tail and the trans-membrane core of a phosphorylated receptor, therefore preventing any G-protein binding and activation.</w:t>
      </w:r>
      <w:r>
        <w:rPr>
          <w:rFonts w:ascii="Arial" w:cs="Arial" w:eastAsia="Times New Roman" w:hAnsi="Arial" w:hint="default"/>
          <w:b/>
          <w:bCs/>
          <w:sz w:val="24"/>
          <w:szCs w:val="24"/>
          <w:lang w:val="en-US" w:eastAsia="en-CA"/>
        </w:rPr>
        <w:t xml:space="preserve">β </w:t>
      </w:r>
      <w:r>
        <w:rPr>
          <w:rFonts w:ascii="Calibri" w:cs="Arial" w:eastAsia="Times New Roman" w:hAnsi="Arial" w:hint="default"/>
          <w:b/>
          <w:bCs/>
          <w:sz w:val="24"/>
          <w:szCs w:val="24"/>
          <w:lang w:val="en-US" w:eastAsia="en-CA"/>
        </w:rPr>
        <w:t>arrestin also triggers receptor internalization through interaction with clathrin substance and the GPCR undergoes receptor mediated endocytosis.</w:t>
      </w:r>
    </w:p>
    <w:p>
      <w:pPr>
        <w:pStyle w:val="style0"/>
        <w:keepNext w:val="false"/>
        <w:keepLines w:val="false"/>
        <w:pageBreakBefore w:val="false"/>
        <w:widowControl/>
        <w:numPr>
          <w:ilvl w:val="0"/>
          <w:numId w:val="0"/>
        </w:numPr>
        <w:kinsoku/>
        <w:wordWrap/>
        <w:overflowPunct/>
        <w:topLinePunct w:val="false"/>
        <w:autoSpaceDE/>
        <w:autoSpaceDN/>
        <w:bidi w:val="false"/>
        <w:adjustRightInd/>
        <w:snapToGrid/>
        <w:spacing w:after="0" w:lineRule="auto" w:line="480"/>
        <w:ind w:firstLine="958" w:firstLineChars="399"/>
        <w:textAlignment w:val="auto"/>
        <w:rPr>
          <w:rFonts w:ascii="Calibri" w:cs="Arial" w:eastAsia="Times New Roman" w:hAnsi="Arial" w:hint="default"/>
          <w:b/>
          <w:bCs/>
          <w:sz w:val="24"/>
          <w:szCs w:val="24"/>
          <w:lang w:val="en-US" w:eastAsia="en-CA"/>
        </w:rPr>
      </w:pPr>
      <w:r>
        <w:rPr>
          <w:rFonts w:ascii="Calibri" w:cs="Arial" w:eastAsia="Times New Roman" w:hAnsi="Arial" w:hint="default"/>
          <w:b/>
          <w:bCs/>
          <w:sz w:val="24"/>
          <w:szCs w:val="24"/>
          <w:lang w:val="en-US" w:eastAsia="en-CA"/>
        </w:rPr>
        <w:t>The nature of the interaction between arrestin and GPCRs is determined by the phosphorylation pattern on the C-terminal tail of the G-protein coupled receptor. This could result in the formation of either Class A GPCRs or class B GPCRs.Class A GPCRs lack serine or threonine clusters at their tail end and thus can only have transient reactions. Class B GPCRs on the other hand, have serine or threonine clusters at their tail end and thus form stronger and more stable megaplexes which allow sustained G protein cell signalling.</w:t>
      </w:r>
    </w:p>
    <w:p>
      <w:pPr>
        <w:pStyle w:val="style0"/>
        <w:keepNext w:val="false"/>
        <w:keepLines w:val="false"/>
        <w:pageBreakBefore w:val="false"/>
        <w:widowControl/>
        <w:numPr>
          <w:ilvl w:val="0"/>
          <w:numId w:val="0"/>
        </w:numPr>
        <w:kinsoku/>
        <w:wordWrap/>
        <w:overflowPunct/>
        <w:topLinePunct w:val="false"/>
        <w:autoSpaceDE/>
        <w:autoSpaceDN/>
        <w:bidi w:val="false"/>
        <w:adjustRightInd/>
        <w:snapToGrid/>
        <w:spacing w:after="0" w:lineRule="auto" w:line="480"/>
        <w:ind w:firstLine="958" w:firstLineChars="399"/>
        <w:textAlignment w:val="auto"/>
        <w:rPr>
          <w:rFonts w:ascii="Calibri" w:cs="Arial" w:eastAsia="Times New Roman" w:hAnsi="Arial" w:hint="default"/>
          <w:b/>
          <w:bCs/>
          <w:sz w:val="24"/>
          <w:szCs w:val="24"/>
          <w:lang w:val="en-US" w:eastAsia="en-CA"/>
        </w:rPr>
      </w:pPr>
      <w:r>
        <w:rPr>
          <w:rFonts w:ascii="Calibri" w:cs="Arial" w:eastAsia="Times New Roman" w:hAnsi="Arial" w:hint="default"/>
          <w:b/>
          <w:bCs/>
          <w:sz w:val="24"/>
          <w:szCs w:val="24"/>
          <w:lang w:val="en-US" w:eastAsia="en-CA"/>
        </w:rPr>
        <w:t xml:space="preserve">Arrestins were initially thought to only have an inhibitory effect on G-protein signalling, however, the formation of stable megaplexes between the G-protein coupled receptor, the G-protein and the </w:t>
      </w:r>
      <w:r>
        <w:rPr>
          <w:rFonts w:ascii="Arial" w:cs="Arial" w:eastAsia="Times New Roman" w:hAnsi="Arial" w:hint="default"/>
          <w:b/>
          <w:bCs/>
          <w:sz w:val="24"/>
          <w:szCs w:val="24"/>
          <w:lang w:val="en-US" w:eastAsia="en-CA"/>
        </w:rPr>
        <w:t>β</w:t>
      </w:r>
      <w:r>
        <w:rPr>
          <w:rFonts w:ascii="Calibri" w:cs="Arial" w:eastAsia="Times New Roman" w:hAnsi="Arial" w:hint="default"/>
          <w:b/>
          <w:bCs/>
          <w:sz w:val="24"/>
          <w:szCs w:val="24"/>
          <w:lang w:val="en-US" w:eastAsia="en-CA"/>
        </w:rPr>
        <w:t xml:space="preserve"> arrestin, forming the class B GPCRs, could result in sustained G protein cell signalling from endosomes.</w:t>
      </w:r>
    </w:p>
    <w:p>
      <w:pPr>
        <w:pStyle w:val="style0"/>
        <w:numPr>
          <w:ilvl w:val="0"/>
          <w:numId w:val="0"/>
        </w:numPr>
        <w:spacing w:after="0" w:lineRule="auto" w:line="240"/>
        <w:ind w:left="360" w:leftChars="0"/>
        <w:rPr>
          <w:rFonts w:ascii="Calibri" w:cs="Arial" w:eastAsia="Times New Roman" w:hAnsi="Arial" w:hint="default"/>
          <w:sz w:val="24"/>
          <w:szCs w:val="24"/>
          <w:lang w:val="en-US" w:eastAsia="en-CA"/>
        </w:rPr>
      </w:pPr>
    </w:p>
    <w:p>
      <w:pPr>
        <w:pStyle w:val="style0"/>
        <w:numPr>
          <w:ilvl w:val="0"/>
          <w:numId w:val="0"/>
        </w:numPr>
        <w:spacing w:after="0" w:lineRule="auto" w:line="240"/>
        <w:ind w:left="360" w:leftChars="0"/>
        <w:rPr>
          <w:rFonts w:ascii="Calibri" w:cs="Arial" w:eastAsia="Times New Roman" w:hAnsi="Arial" w:hint="default"/>
          <w:sz w:val="24"/>
          <w:szCs w:val="24"/>
          <w:lang w:val="en-US" w:eastAsia="en-CA"/>
        </w:rPr>
      </w:pPr>
    </w:p>
    <w:p>
      <w:pPr>
        <w:pStyle w:val="style0"/>
        <w:spacing w:after="75" w:lineRule="auto" w:line="240"/>
        <w:rPr>
          <w:rFonts w:ascii="Calibri" w:cs="Calibri" w:eastAsia="Times New Roman" w:hAnsi="Calibri"/>
          <w:color w:val="000000"/>
          <w:sz w:val="27"/>
          <w:szCs w:val="27"/>
          <w:lang w:val="en-US" w:eastAsia="en-CA"/>
        </w:rPr>
      </w:pPr>
      <w:r>
        <w:rPr>
          <w:rFonts w:ascii="Calibri" w:cs="Calibri" w:eastAsia="Times New Roman" w:hAnsi="Calibri"/>
          <w:color w:val="000000"/>
          <w:sz w:val="27"/>
          <w:szCs w:val="27"/>
          <w:lang w:val="en-US" w:eastAsia="en-CA"/>
        </w:rPr>
        <w:t> </w:t>
      </w:r>
    </w:p>
    <w:p>
      <w:pPr>
        <w:pStyle w:val="style0"/>
        <w:rPr/>
      </w:pPr>
    </w:p>
    <w:p>
      <w:pPr>
        <w:pStyle w:val="style0"/>
        <w:rPr>
          <w:rFonts w:ascii="Calibri" w:cs="Calibri" w:hAnsi="Calibri"/>
          <w:lang w:val="en-US"/>
        </w:rPr>
      </w:pPr>
      <w:r>
        <w:rPr>
          <w:rFonts w:ascii="Calibri" w:cs="Calibri" w:hAnsi="Calibri"/>
          <w:lang w:val="en-US"/>
        </w:rPr>
        <w:t>What model system was used in this study? Comment on the internal validity of the study and the translational validity of the model used.</w:t>
      </w:r>
    </w:p>
    <w:p>
      <w:pPr>
        <w:pStyle w:val="style0"/>
        <w:rPr>
          <w:rFonts w:ascii="Calibri" w:cs="Calibri" w:hAnsi="Calibri"/>
          <w:lang w:val="en-US"/>
        </w:rPr>
      </w:pPr>
    </w:p>
    <w:p>
      <w:pPr>
        <w:pStyle w:val="style0"/>
        <w:rPr>
          <w:rFonts w:ascii="Calibri" w:cs="Calibri" w:hAnsi="Calibri"/>
          <w:lang w:val="en-US"/>
        </w:rPr>
      </w:pPr>
      <w:r>
        <w:rPr>
          <w:rFonts w:ascii="Calibri" w:cs="Calibri" w:hAnsi="Calibri"/>
          <w:lang w:val="en-US"/>
        </w:rPr>
        <w:t>Explain the results in figure 2. What is being measured? What is being compared specifically? What are the results attempting to explain?</w:t>
      </w:r>
    </w:p>
    <w:p>
      <w:pPr>
        <w:pStyle w:val="style0"/>
        <w:rPr>
          <w:rFonts w:ascii="Calibri" w:cs="Calibri" w:hAnsi="Calibri"/>
          <w:lang w:val="en-US"/>
        </w:rPr>
      </w:pPr>
    </w:p>
    <w:p>
      <w:pPr>
        <w:pStyle w:val="style0"/>
        <w:rPr>
          <w:rFonts w:ascii="Calibri" w:cs="Calibri" w:hAnsi="Calibri"/>
          <w:lang w:val="en-US"/>
        </w:rPr>
      </w:pPr>
    </w:p>
    <w:p>
      <w:pPr>
        <w:pStyle w:val="style0"/>
        <w:rPr>
          <w:rFonts w:ascii="Calibri" w:cs="Calibri" w:hAnsi="Calibri"/>
          <w:lang w:val="en-US"/>
        </w:rPr>
      </w:pPr>
      <w:r>
        <w:rPr>
          <w:rFonts w:ascii="Calibri" w:cs="Calibri" w:hAnsi="Calibri"/>
          <w:lang w:val="en-US"/>
        </w:rPr>
        <w:t>To what extent was the functionality of this artificial system maintained and how was this demonstrated?</w:t>
      </w:r>
    </w:p>
    <w:p>
      <w:pPr>
        <w:pStyle w:val="style0"/>
        <w:rPr>
          <w:rFonts w:ascii="Calibri" w:cs="Calibri" w:hAnsi="Calibri"/>
          <w:lang w:val="en-US"/>
        </w:rPr>
      </w:pPr>
      <w:r>
        <w:rPr>
          <w:rFonts w:ascii="Calibri" w:cs="Calibri" w:hAnsi="Calibri"/>
          <w:lang w:val="en-US"/>
        </w:rPr>
        <w:t>What further questions about the study do you have?</w:t>
      </w:r>
    </w:p>
    <w:p>
      <w:pPr>
        <w:pStyle w:val="style0"/>
        <w:rPr>
          <w:rFonts w:ascii="Calibri" w:cs="Calibri" w:eastAsia="Times New Roman" w:hAnsi="Calibri"/>
          <w:color w:val="000000"/>
          <w:sz w:val="27"/>
          <w:szCs w:val="27"/>
          <w:lang w:val="en-US" w:eastAsia="en-CA"/>
        </w:rPr>
      </w:pPr>
      <w:r>
        <w:rPr>
          <w:rFonts w:ascii="Calibri" w:cs="Calibri" w:hAnsi="Calibri"/>
          <w:lang w:val="en-US"/>
        </w:rPr>
        <w:br w:type="page"/>
      </w:r>
      <w:r>
        <w:rPr>
          <w:rFonts w:ascii="Calibri" w:cs="Calibri" w:eastAsia="Times New Roman" w:hAnsi="Calibri"/>
          <w:color w:val="000000"/>
          <w:sz w:val="27"/>
          <w:szCs w:val="27"/>
          <w:lang w:val="en-US" w:eastAsia="en-CA"/>
        </w:rPr>
        <w:t>Baher Paper:</w:t>
      </w:r>
    </w:p>
    <w:p>
      <w:pPr>
        <w:pStyle w:val="style0"/>
        <w:spacing w:after="0" w:lineRule="auto" w:line="240"/>
        <w:rPr>
          <w:rFonts w:ascii="Calibri" w:cs="Calibri" w:eastAsia="Times New Roman" w:hAnsi="Calibri"/>
          <w:color w:val="000000"/>
          <w:sz w:val="27"/>
          <w:szCs w:val="27"/>
          <w:lang w:val="en-US" w:eastAsia="en-CA"/>
        </w:rPr>
      </w:pP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Compare the cell culture used for this paper to that used in the Thomsen paper. What are the main differences? What are the advantages or disadvantages of the system used here? </w:t>
      </w:r>
    </w:p>
    <w:p>
      <w:pPr>
        <w:pStyle w:val="style0"/>
        <w:spacing w:after="0" w:lineRule="auto" w:line="240"/>
        <w:rPr>
          <w:rFonts w:ascii="Calibri" w:cs="Calibri" w:eastAsia="Times New Roman" w:hAnsi="Calibri"/>
          <w:color w:val="000000"/>
          <w:sz w:val="24"/>
          <w:szCs w:val="24"/>
          <w:lang w:val="en-US" w:eastAsia="en-CA"/>
        </w:rPr>
      </w:pP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 </w:t>
      </w: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Why is D2L used in this study? Using outside sources, what distinguishes D2L from other forms of the same receptor?</w:t>
      </w:r>
    </w:p>
    <w:p>
      <w:pPr>
        <w:pStyle w:val="style0"/>
        <w:spacing w:after="0" w:lineRule="auto" w:line="240"/>
        <w:rPr>
          <w:rFonts w:ascii="Calibri" w:cs="Calibri" w:eastAsia="Times New Roman" w:hAnsi="Calibri"/>
          <w:color w:val="000000"/>
          <w:sz w:val="24"/>
          <w:szCs w:val="24"/>
          <w:lang w:val="en-US" w:eastAsia="en-CA"/>
        </w:rPr>
      </w:pP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 </w:t>
      </w: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What were the main conclusions of the paper? </w:t>
      </w:r>
    </w:p>
    <w:p>
      <w:pPr>
        <w:pStyle w:val="style0"/>
        <w:spacing w:after="0" w:lineRule="auto" w:line="240"/>
        <w:rPr>
          <w:rFonts w:ascii="Calibri" w:cs="Calibri" w:eastAsia="Times New Roman" w:hAnsi="Calibri"/>
          <w:color w:val="000000"/>
          <w:sz w:val="24"/>
          <w:szCs w:val="24"/>
          <w:lang w:val="en-US" w:eastAsia="en-CA"/>
        </w:rPr>
      </w:pP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 </w:t>
      </w: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Explain what the authors mean when they refer to allosteric alteration in the context of this study.</w:t>
      </w:r>
    </w:p>
    <w:p>
      <w:pPr>
        <w:pStyle w:val="style0"/>
        <w:spacing w:after="0" w:lineRule="auto" w:line="240"/>
        <w:rPr>
          <w:rFonts w:ascii="Calibri" w:cs="Calibri" w:eastAsia="Times New Roman" w:hAnsi="Calibri"/>
          <w:color w:val="000000"/>
          <w:sz w:val="24"/>
          <w:szCs w:val="24"/>
          <w:lang w:val="en-US" w:eastAsia="en-CA"/>
        </w:rPr>
      </w:pPr>
    </w:p>
    <w:p>
      <w:pPr>
        <w:pStyle w:val="style0"/>
        <w:keepNext w:val="false"/>
        <w:keepLines w:val="false"/>
        <w:pageBreakBefore w:val="false"/>
        <w:widowControl/>
        <w:kinsoku/>
        <w:wordWrap/>
        <w:overflowPunct/>
        <w:topLinePunct w:val="false"/>
        <w:autoSpaceDE/>
        <w:autoSpaceDN/>
        <w:bidi w:val="false"/>
        <w:adjustRightInd/>
        <w:snapToGrid/>
        <w:spacing w:after="0" w:lineRule="auto" w:line="480"/>
        <w:ind w:firstLine="720" w:firstLineChars="0"/>
        <w:jc w:val="both"/>
        <w:textAlignment w:val="auto"/>
        <w:rPr>
          <w:rFonts w:ascii="Calibri" w:cs="Arial" w:eastAsia="Times New Roman" w:hAnsi="Arial" w:hint="default"/>
          <w:b/>
          <w:bCs/>
          <w:color w:val="000000"/>
          <w:sz w:val="24"/>
          <w:szCs w:val="24"/>
          <w:vertAlign w:val="baseline"/>
          <w:lang w:val="en-US" w:eastAsia="en-CA"/>
        </w:rPr>
      </w:pPr>
      <w:r>
        <w:rPr>
          <w:rFonts w:ascii="Calibri" w:cs="Calibri" w:eastAsia="Times New Roman" w:hAnsi="Calibri" w:hint="default"/>
          <w:b/>
          <w:bCs/>
          <w:color w:val="000000"/>
          <w:sz w:val="24"/>
          <w:szCs w:val="24"/>
          <w:lang w:val="en-US" w:eastAsia="en-CA"/>
        </w:rPr>
        <w:t>Allosteric alteration refers to the binding of a ligand to an allosteric site of a receptor causing a confirmational change on the receptor and affecting the efficacy and potency of an othorsteric ligand.For example, the dopamine antagonist Haloperidol which is used as an anti-psychotic medication allosterically binds to G</w:t>
      </w:r>
      <w:r>
        <w:rPr>
          <w:rFonts w:ascii="Calibri" w:cs="Arial" w:eastAsia="Times New Roman" w:hAnsi="Arial" w:hint="default"/>
          <w:b/>
          <w:bCs/>
          <w:color w:val="000000"/>
          <w:sz w:val="24"/>
          <w:szCs w:val="24"/>
          <w:lang w:val="en-US" w:eastAsia="en-CA"/>
        </w:rPr>
        <w:t>α</w:t>
      </w:r>
      <w:r>
        <w:rPr>
          <w:rFonts w:ascii="Calibri" w:cs="Arial" w:eastAsia="Times New Roman" w:hAnsi="Arial" w:hint="default"/>
          <w:b/>
          <w:bCs/>
          <w:color w:val="000000"/>
          <w:sz w:val="24"/>
          <w:szCs w:val="24"/>
          <w:vertAlign w:val="subscript"/>
          <w:lang w:val="en-US" w:eastAsia="en-CA"/>
        </w:rPr>
        <w:t xml:space="preserve">I </w:t>
      </w:r>
      <w:r>
        <w:rPr>
          <w:rFonts w:ascii="Calibri" w:cs="Arial" w:eastAsia="Times New Roman" w:hAnsi="Arial" w:hint="default"/>
          <w:b/>
          <w:bCs/>
          <w:color w:val="000000"/>
          <w:sz w:val="24"/>
          <w:szCs w:val="24"/>
          <w:vertAlign w:val="baseline"/>
          <w:lang w:val="en-US" w:eastAsia="en-CA"/>
        </w:rPr>
        <w:t xml:space="preserve">and inhibits the coupling of </w:t>
      </w:r>
      <w:r>
        <w:rPr>
          <w:rFonts w:ascii="Calibri" w:cs="Calibri" w:eastAsia="Times New Roman" w:hAnsi="Calibri" w:hint="default"/>
          <w:b/>
          <w:bCs/>
          <w:color w:val="000000"/>
          <w:sz w:val="24"/>
          <w:szCs w:val="24"/>
          <w:lang w:val="en-US" w:eastAsia="en-CA"/>
        </w:rPr>
        <w:t>G</w:t>
      </w:r>
      <w:r>
        <w:rPr>
          <w:rFonts w:ascii="Calibri" w:cs="Arial" w:eastAsia="Times New Roman" w:hAnsi="Arial" w:hint="default"/>
          <w:b/>
          <w:bCs/>
          <w:color w:val="000000"/>
          <w:sz w:val="24"/>
          <w:szCs w:val="24"/>
          <w:lang w:val="en-US" w:eastAsia="en-CA"/>
        </w:rPr>
        <w:t>α</w:t>
      </w:r>
      <w:r>
        <w:rPr>
          <w:rFonts w:ascii="Calibri" w:cs="Arial" w:eastAsia="Times New Roman" w:hAnsi="Arial" w:hint="default"/>
          <w:b/>
          <w:bCs/>
          <w:color w:val="000000"/>
          <w:sz w:val="24"/>
          <w:szCs w:val="24"/>
          <w:vertAlign w:val="subscript"/>
          <w:lang w:val="en-US" w:eastAsia="en-CA"/>
        </w:rPr>
        <w:t xml:space="preserve">I </w:t>
      </w:r>
      <w:r>
        <w:rPr>
          <w:rFonts w:ascii="Calibri" w:cs="Arial" w:eastAsia="Times New Roman" w:hAnsi="Arial" w:hint="default"/>
          <w:b/>
          <w:bCs/>
          <w:color w:val="000000"/>
          <w:sz w:val="24"/>
          <w:szCs w:val="24"/>
          <w:vertAlign w:val="baseline"/>
          <w:lang w:val="en-US" w:eastAsia="en-CA"/>
        </w:rPr>
        <w:t xml:space="preserve"> to CB</w:t>
      </w:r>
      <w:r>
        <w:rPr>
          <w:rFonts w:ascii="Calibri" w:cs="Arial" w:eastAsia="Times New Roman" w:hAnsi="Arial" w:hint="default"/>
          <w:b/>
          <w:bCs/>
          <w:color w:val="000000"/>
          <w:sz w:val="24"/>
          <w:szCs w:val="24"/>
          <w:vertAlign w:val="subscript"/>
          <w:lang w:val="en-US" w:eastAsia="en-CA"/>
        </w:rPr>
        <w:t xml:space="preserve">1 , </w:t>
      </w:r>
      <w:r>
        <w:rPr>
          <w:rFonts w:ascii="Calibri" w:cs="Arial" w:eastAsia="Times New Roman" w:hAnsi="Arial" w:hint="default"/>
          <w:b/>
          <w:bCs/>
          <w:color w:val="000000"/>
          <w:sz w:val="24"/>
          <w:szCs w:val="24"/>
          <w:vertAlign w:val="baseline"/>
          <w:lang w:val="en-US" w:eastAsia="en-CA"/>
        </w:rPr>
        <w:t xml:space="preserve"> </w:t>
      </w:r>
      <w:r>
        <w:rPr>
          <w:rFonts w:cs="Arial" w:eastAsia="Times New Roman" w:hAnsi="Arial" w:hint="default"/>
          <w:b/>
          <w:bCs/>
          <w:color w:val="000000"/>
          <w:sz w:val="24"/>
          <w:szCs w:val="24"/>
          <w:vertAlign w:val="baseline"/>
          <w:lang w:val="en-US" w:eastAsia="en-CA"/>
        </w:rPr>
        <w:t xml:space="preserve">it </w:t>
      </w:r>
      <w:r>
        <w:rPr>
          <w:rFonts w:ascii="Calibri" w:cs="Arial" w:eastAsia="Times New Roman" w:hAnsi="Arial" w:hint="default"/>
          <w:b/>
          <w:bCs/>
          <w:color w:val="000000"/>
          <w:sz w:val="24"/>
          <w:szCs w:val="24"/>
          <w:vertAlign w:val="baseline"/>
          <w:lang w:val="en-US" w:eastAsia="en-CA"/>
        </w:rPr>
        <w:t xml:space="preserve">also inhibits downstream cellular signalling. </w:t>
      </w:r>
    </w:p>
    <w:p>
      <w:pPr>
        <w:pStyle w:val="style0"/>
        <w:keepNext w:val="false"/>
        <w:keepLines w:val="false"/>
        <w:pageBreakBefore w:val="false"/>
        <w:widowControl/>
        <w:kinsoku/>
        <w:wordWrap/>
        <w:overflowPunct/>
        <w:topLinePunct w:val="false"/>
        <w:autoSpaceDE/>
        <w:autoSpaceDN/>
        <w:bidi w:val="false"/>
        <w:adjustRightInd/>
        <w:snapToGrid/>
        <w:spacing w:after="0" w:lineRule="auto" w:line="480"/>
        <w:jc w:val="both"/>
        <w:textAlignment w:val="auto"/>
        <w:rPr>
          <w:rFonts w:ascii="Calibri" w:cs="Arial" w:eastAsia="Times New Roman" w:hAnsi="Arial" w:hint="default"/>
          <w:color w:val="000000"/>
          <w:sz w:val="24"/>
          <w:szCs w:val="24"/>
          <w:vertAlign w:val="subscript"/>
          <w:lang w:val="en-US" w:eastAsia="en-CA"/>
        </w:rPr>
      </w:pP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Explain the results in Figure 3 in your own words and state why they are important. </w:t>
      </w:r>
    </w:p>
    <w:p>
      <w:pPr>
        <w:pStyle w:val="style0"/>
        <w:spacing w:after="0" w:lineRule="auto" w:line="240"/>
        <w:rPr>
          <w:rFonts w:ascii="Calibri" w:cs="Calibri" w:eastAsia="Times New Roman" w:hAnsi="Calibri"/>
          <w:color w:val="000000"/>
          <w:sz w:val="24"/>
          <w:szCs w:val="24"/>
          <w:lang w:val="en-US" w:eastAsia="en-CA"/>
        </w:rPr>
      </w:pP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 </w:t>
      </w: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What additional studies would you like to see done in order to confirm or to expand on the results?</w:t>
      </w:r>
    </w:p>
    <w:p>
      <w:pPr>
        <w:pStyle w:val="style0"/>
        <w:spacing w:after="0" w:lineRule="auto" w:line="240"/>
        <w:rPr>
          <w:rFonts w:ascii="Calibri" w:cs="Calibri" w:eastAsia="Times New Roman" w:hAnsi="Calibri"/>
          <w:color w:val="000000"/>
          <w:sz w:val="24"/>
          <w:szCs w:val="24"/>
          <w:lang w:val="en-US" w:eastAsia="en-CA"/>
        </w:rPr>
      </w:pPr>
    </w:p>
    <w:p>
      <w:pPr>
        <w:pStyle w:val="style0"/>
        <w:spacing w:after="0"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 </w:t>
      </w:r>
    </w:p>
    <w:p>
      <w:pPr>
        <w:pStyle w:val="style0"/>
        <w:spacing w:after="75" w:lineRule="auto" w:line="240"/>
        <w:rPr>
          <w:rFonts w:ascii="Calibri" w:cs="Calibri" w:eastAsia="Times New Roman" w:hAnsi="Calibri"/>
          <w:color w:val="000000"/>
          <w:sz w:val="24"/>
          <w:szCs w:val="24"/>
          <w:lang w:val="en-US" w:eastAsia="en-CA"/>
        </w:rPr>
      </w:pPr>
      <w:r>
        <w:rPr>
          <w:rFonts w:ascii="Calibri" w:cs="Calibri" w:eastAsia="Times New Roman" w:hAnsi="Calibri"/>
          <w:color w:val="000000"/>
          <w:sz w:val="24"/>
          <w:szCs w:val="24"/>
          <w:lang w:val="en-US" w:eastAsia="en-CA"/>
        </w:rPr>
        <w:t>Explain the possible clinical implications of this paper.</w:t>
      </w:r>
    </w:p>
    <w:p>
      <w:pPr>
        <w:pStyle w:val="style0"/>
        <w:spacing w:after="75" w:lineRule="auto" w:line="240"/>
        <w:rPr>
          <w:rFonts w:ascii="Calibri" w:cs="Calibri" w:eastAsia="Times New Roman" w:hAnsi="Calibri"/>
          <w:color w:val="000000"/>
          <w:sz w:val="24"/>
          <w:szCs w:val="24"/>
          <w:lang w:val="en-US" w:eastAsia="en-CA"/>
        </w:rPr>
      </w:pPr>
    </w:p>
    <w:p>
      <w:pPr>
        <w:pStyle w:val="style0"/>
        <w:keepNext w:val="false"/>
        <w:keepLines w:val="false"/>
        <w:pageBreakBefore w:val="false"/>
        <w:widowControl/>
        <w:kinsoku/>
        <w:wordWrap/>
        <w:overflowPunct/>
        <w:topLinePunct w:val="false"/>
        <w:autoSpaceDE/>
        <w:autoSpaceDN/>
        <w:bidi w:val="false"/>
        <w:adjustRightInd/>
        <w:snapToGrid/>
        <w:spacing w:after="75" w:lineRule="auto" w:line="480"/>
        <w:ind w:firstLine="720" w:firstLineChars="0"/>
        <w:textAlignment w:val="auto"/>
        <w:rPr>
          <w:rFonts w:ascii="Calibri" w:cs="Calibri" w:eastAsia="Times New Roman" w:hAnsi="Calibri" w:hint="default"/>
          <w:b/>
          <w:bCs/>
          <w:color w:val="000000"/>
          <w:sz w:val="24"/>
          <w:szCs w:val="24"/>
          <w:vertAlign w:val="baseline"/>
          <w:lang w:val="en-US" w:eastAsia="en-CA"/>
        </w:rPr>
      </w:pPr>
      <w:r>
        <w:rPr>
          <w:rFonts w:ascii="Calibri" w:cs="Calibri" w:eastAsia="Times New Roman" w:hAnsi="Calibri" w:hint="default"/>
          <w:b/>
          <w:bCs/>
          <w:color w:val="000000"/>
          <w:sz w:val="24"/>
          <w:szCs w:val="24"/>
          <w:lang w:val="en-US" w:eastAsia="en-CA"/>
        </w:rPr>
        <w:t>Haloperidol, a dopamine antagonist is prescribed to patients suffering from Parkinsonism, Huntington’s disease, Schizophrenia and is used to alleviate psychotic symptoms and tendencies by inhibiting the coupling of G</w:t>
      </w:r>
      <w:r>
        <w:rPr>
          <w:rFonts w:ascii="Calibri" w:cs="Arial" w:eastAsia="Times New Roman" w:hAnsi="Arial" w:hint="default"/>
          <w:b/>
          <w:bCs/>
          <w:color w:val="000000"/>
          <w:sz w:val="24"/>
          <w:szCs w:val="24"/>
          <w:lang w:val="en-US" w:eastAsia="en-CA"/>
        </w:rPr>
        <w:t>α</w:t>
      </w:r>
      <w:r>
        <w:rPr>
          <w:rFonts w:ascii="Calibri" w:cs="Arial" w:eastAsia="Times New Roman" w:hAnsi="Arial" w:hint="default"/>
          <w:b/>
          <w:bCs/>
          <w:color w:val="000000"/>
          <w:sz w:val="24"/>
          <w:szCs w:val="24"/>
          <w:vertAlign w:val="subscript"/>
          <w:lang w:val="en-US" w:eastAsia="en-CA"/>
        </w:rPr>
        <w:t xml:space="preserve">I </w:t>
      </w:r>
      <w:r>
        <w:rPr>
          <w:rFonts w:ascii="Calibri" w:cs="Arial" w:eastAsia="Times New Roman" w:hAnsi="Arial" w:hint="default"/>
          <w:b/>
          <w:bCs/>
          <w:color w:val="000000"/>
          <w:sz w:val="24"/>
          <w:szCs w:val="24"/>
          <w:vertAlign w:val="baseline"/>
          <w:lang w:val="en-US" w:eastAsia="en-CA"/>
        </w:rPr>
        <w:t>to CB</w:t>
      </w:r>
      <w:r>
        <w:rPr>
          <w:rFonts w:ascii="Calibri" w:cs="Arial" w:eastAsia="Times New Roman" w:hAnsi="Arial" w:hint="default"/>
          <w:b/>
          <w:bCs/>
          <w:color w:val="000000"/>
          <w:sz w:val="24"/>
          <w:szCs w:val="24"/>
          <w:vertAlign w:val="subscript"/>
          <w:lang w:val="en-US" w:eastAsia="en-CA"/>
        </w:rPr>
        <w:t xml:space="preserve">1 </w:t>
      </w:r>
      <w:r>
        <w:rPr>
          <w:rFonts w:ascii="Calibri" w:cs="Arial" w:eastAsia="Times New Roman" w:hAnsi="Arial" w:hint="default"/>
          <w:b/>
          <w:bCs/>
          <w:color w:val="000000"/>
          <w:sz w:val="24"/>
          <w:szCs w:val="24"/>
          <w:vertAlign w:val="baseline"/>
          <w:lang w:val="en-US" w:eastAsia="en-CA"/>
        </w:rPr>
        <w:t xml:space="preserve">and also inhibiting downstream cellular signalling.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firstLine="720" w:firstLineChars="0"/>
        <w:textAlignment w:val="auto"/>
        <w:rPr>
          <w:rFonts w:ascii="Calibri" w:hint="default"/>
          <w:b/>
          <w:bCs/>
          <w:sz w:val="24"/>
          <w:szCs w:val="24"/>
          <w:lang w:val="en-US"/>
        </w:rPr>
      </w:pPr>
      <w:r>
        <w:rPr>
          <w:rFonts w:ascii="Calibri" w:hint="default"/>
          <w:b/>
          <w:bCs/>
          <w:sz w:val="24"/>
          <w:szCs w:val="24"/>
          <w:lang w:val="en-US"/>
        </w:rPr>
        <w:t>Long term cannabis use causes deficits in dopaminergic functions causing psychosis, addiction, anxiety, depression and altered cognition, these effects also manifest as a result of dopamine D1-D2 receptor heteromer (Shenglong Zou, et al,2018).</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firstLine="720" w:firstLineChars="0"/>
        <w:textAlignment w:val="auto"/>
        <w:rPr>
          <w:rFonts w:hint="default"/>
          <w:b/>
          <w:bCs/>
          <w:sz w:val="24"/>
          <w:szCs w:val="24"/>
          <w:lang w:val="en-US"/>
        </w:rPr>
      </w:pPr>
      <w:r>
        <w:rPr>
          <w:rFonts w:ascii="Calibri" w:hint="default"/>
          <w:b/>
          <w:bCs/>
          <w:sz w:val="24"/>
          <w:szCs w:val="24"/>
          <w:lang w:val="en-US"/>
        </w:rPr>
        <w:t xml:space="preserve"> Tetrahydrocannabinol(THC), the main psychoactive component of phytocannabinoids increases the number of dopamine D1-D2 heteromer-expressing neurons and thus long term exposure to Tetrahydrocannabinol or higher ratios of tetrahydrocannabinol to cannabidiol  is </w:t>
      </w:r>
      <w:r>
        <w:rPr>
          <w:rFonts w:hint="default"/>
          <w:b/>
          <w:bCs/>
          <w:sz w:val="24"/>
          <w:szCs w:val="24"/>
          <w:lang w:val="en-US"/>
        </w:rPr>
        <w:t xml:space="preserve">linked to the following pharmacological effects; depression, anxiety, psychosis and addiction in otherwise normal individuals (Shenglong Zou, et al.,2018).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firstLine="720" w:firstLineChars="0"/>
        <w:textAlignment w:val="auto"/>
        <w:rPr>
          <w:rFonts w:hint="default"/>
          <w:b/>
          <w:bCs/>
          <w:sz w:val="24"/>
          <w:szCs w:val="24"/>
          <w:lang w:val="en-US"/>
        </w:rPr>
      </w:pPr>
      <w:r>
        <w:rPr>
          <w:rFonts w:hint="default"/>
          <w:b/>
          <w:bCs/>
          <w:sz w:val="24"/>
          <w:szCs w:val="24"/>
          <w:lang w:val="en-US"/>
        </w:rPr>
        <w:t>Cannabidiol, a non-psychoactive component of  phytocannabinoids has various medical uses such as in pain relief, management of epilepsy, it also counteracts the effects of addiction and is beneficial in the treatment of cancer (Shenglong Zou, et al,2018).</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firstLine="720" w:firstLineChars="0"/>
        <w:textAlignment w:val="auto"/>
        <w:rPr>
          <w:rFonts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2880" w:leftChars="0" w:firstLine="720" w:firstLineChars="0"/>
        <w:textAlignment w:val="auto"/>
        <w:rPr>
          <w:rFonts w:hint="default"/>
          <w:b w:val="false"/>
          <w:bCs w:val="false"/>
          <w:sz w:val="24"/>
          <w:szCs w:val="24"/>
          <w:u w:val="single"/>
          <w:lang w:val="en-US"/>
        </w:rPr>
      </w:pPr>
      <w:r>
        <w:rPr>
          <w:rFonts w:hint="default"/>
          <w:b w:val="false"/>
          <w:bCs w:val="false"/>
          <w:sz w:val="24"/>
          <w:szCs w:val="24"/>
          <w:u w:val="single"/>
          <w:lang w:val="en-US"/>
        </w:rPr>
        <w:t>References</w:t>
      </w:r>
    </w:p>
    <w:p>
      <w:pPr>
        <w:pStyle w:val="style0"/>
        <w:keepNext w:val="false"/>
        <w:keepLines w:val="false"/>
        <w:pageBreakBefore w:val="false"/>
        <w:widowControl/>
        <w:kinsoku/>
        <w:wordWrap/>
        <w:overflowPunct/>
        <w:topLinePunct w:val="false"/>
        <w:autoSpaceDE/>
        <w:autoSpaceDN/>
        <w:bidi w:val="false"/>
        <w:adjustRightInd/>
        <w:snapToGrid/>
        <w:spacing w:lineRule="auto" w:line="480"/>
        <w:textAlignment w:val="auto"/>
        <w:rPr>
          <w:rFonts w:hint="default"/>
          <w:b w:val="false"/>
          <w:bCs w:val="false"/>
          <w:sz w:val="24"/>
          <w:szCs w:val="24"/>
          <w:lang w:val="en-US"/>
        </w:rPr>
      </w:pPr>
      <w:r>
        <w:rPr>
          <w:rFonts w:hint="default"/>
          <w:b w:val="false"/>
          <w:bCs w:val="false"/>
          <w:sz w:val="24"/>
          <w:szCs w:val="24"/>
          <w:lang w:val="en-US"/>
        </w:rPr>
        <w:t xml:space="preserve">Zou, S., &amp; Kumar, U. (2018). Cannabinoid Receptors and the Endocannabinoid System: Signaling and Function in the Central Nervous System. International journal of molecular sciences, 19(3), 833. </w:t>
      </w:r>
      <w:r>
        <w:rPr>
          <w:rFonts w:hint="default"/>
          <w:b w:val="false"/>
          <w:bCs w:val="false"/>
          <w:sz w:val="24"/>
          <w:szCs w:val="24"/>
          <w:lang w:val="en-US"/>
        </w:rPr>
        <w:fldChar w:fldCharType="begin"/>
      </w:r>
      <w:r>
        <w:rPr>
          <w:rFonts w:hint="default"/>
          <w:b w:val="false"/>
          <w:bCs w:val="false"/>
          <w:sz w:val="24"/>
          <w:szCs w:val="24"/>
          <w:lang w:val="en-US"/>
        </w:rPr>
        <w:instrText xml:space="preserve"> HYPERLINK "https://doi.org/10.3390/ijms19030833" </w:instrText>
      </w:r>
      <w:r>
        <w:rPr>
          <w:rFonts w:hint="default"/>
          <w:b w:val="false"/>
          <w:bCs w:val="false"/>
          <w:sz w:val="24"/>
          <w:szCs w:val="24"/>
          <w:lang w:val="en-US"/>
        </w:rPr>
        <w:fldChar w:fldCharType="separate"/>
      </w:r>
      <w:r>
        <w:rPr>
          <w:rStyle w:val="style85"/>
          <w:rFonts w:hint="default"/>
          <w:b w:val="false"/>
          <w:bCs w:val="false"/>
          <w:sz w:val="24"/>
          <w:szCs w:val="24"/>
          <w:lang w:val="en-US"/>
        </w:rPr>
        <w:t>https://doi.org/10.3390/ijms19030833</w:t>
      </w:r>
      <w:r>
        <w:rPr>
          <w:rFonts w:hint="default"/>
          <w:b w:val="false"/>
          <w:bCs w:val="false"/>
          <w:sz w:val="24"/>
          <w:szCs w:val="24"/>
          <w:lang w:val="en-US"/>
        </w:rPr>
        <w:fldChar w:fldCharType="end"/>
      </w:r>
    </w:p>
    <w:p>
      <w:pPr>
        <w:pStyle w:val="style0"/>
        <w:keepNext w:val="false"/>
        <w:keepLines w:val="false"/>
        <w:pageBreakBefore w:val="false"/>
        <w:widowControl/>
        <w:kinsoku/>
        <w:wordWrap/>
        <w:overflowPunct/>
        <w:topLinePunct w:val="false"/>
        <w:autoSpaceDE/>
        <w:autoSpaceDN/>
        <w:bidi w:val="false"/>
        <w:adjustRightInd/>
        <w:snapToGrid/>
        <w:spacing w:lineRule="auto" w:line="480"/>
        <w:textAlignment w:val="auto"/>
        <w:rPr>
          <w:rFonts w:hint="default"/>
          <w:b w:val="false"/>
          <w:bCs w:val="false"/>
          <w:sz w:val="24"/>
          <w:szCs w:val="24"/>
          <w:lang w:val="en-US"/>
        </w:rPr>
      </w:pPr>
      <w:r>
        <w:rPr>
          <w:rFonts w:hint="default"/>
          <w:b w:val="false"/>
          <w:bCs w:val="false"/>
          <w:sz w:val="24"/>
          <w:szCs w:val="24"/>
          <w:lang w:val="en-US"/>
        </w:rPr>
        <w:t>(n.d.). Response to the Cellular Signal | Boundless Biology. Retrieved from https://courses.lumenlearning.com/boundless-biology/chapter/response-to-the-cellular-signal/</w:t>
      </w:r>
    </w:p>
    <w:p>
      <w:pPr>
        <w:pStyle w:val="style0"/>
        <w:keepNext w:val="false"/>
        <w:keepLines w:val="false"/>
        <w:pageBreakBefore w:val="false"/>
        <w:widowControl/>
        <w:kinsoku/>
        <w:wordWrap/>
        <w:overflowPunct/>
        <w:topLinePunct w:val="false"/>
        <w:autoSpaceDE/>
        <w:autoSpaceDN/>
        <w:bidi w:val="false"/>
        <w:adjustRightInd/>
        <w:snapToGrid/>
        <w:spacing w:lineRule="auto" w:line="480"/>
        <w:textAlignment w:val="auto"/>
        <w:rPr>
          <w:rFonts w:hint="default"/>
          <w:b w:val="false"/>
          <w:bCs w:val="false"/>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firstLine="720" w:firstLineChars="0"/>
        <w:textAlignment w:val="auto"/>
        <w:rPr>
          <w:rFonts w:hint="default"/>
          <w:b/>
          <w:bCs/>
          <w:sz w:val="24"/>
          <w:szCs w:val="24"/>
          <w:lang w:val="en-US"/>
        </w:rPr>
      </w:pPr>
    </w:p>
    <w:p>
      <w:pPr>
        <w:pStyle w:val="style0"/>
        <w:ind w:firstLine="720" w:firstLineChars="0"/>
        <w:rPr>
          <w:rFonts w:hint="default"/>
          <w:b/>
          <w:bCs/>
          <w:sz w:val="24"/>
          <w:szCs w:val="24"/>
          <w:lang w:val="en-US"/>
        </w:rPr>
      </w:pPr>
    </w:p>
    <w:p>
      <w:pPr>
        <w:pStyle w:val="style0"/>
        <w:rPr>
          <w:rFonts w:hint="default"/>
          <w:b/>
          <w:bCs/>
          <w:sz w:val="24"/>
          <w:szCs w:val="24"/>
          <w:lang w:val="en-US"/>
        </w:rPr>
      </w:pPr>
    </w:p>
    <w:p>
      <w:pPr>
        <w:pStyle w:val="style0"/>
        <w:rPr>
          <w:rFonts w:hint="default"/>
          <w:b/>
          <w:bCs/>
          <w:sz w:val="24"/>
          <w:szCs w:val="24"/>
          <w:lang w:val="en-US"/>
        </w:rPr>
      </w:pPr>
    </w:p>
    <w:sectPr>
      <w:pgSz w:w="12240" w:h="15840" w:orient="portrait"/>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SimSun"/>
    <w:panose1 w:val="02010600030000010101"/>
    <w:charset w:val="86"/>
    <w:family w:val="auto"/>
    <w:pitch w:val="variable"/>
    <w:sig w:usb0="00000003" w:usb1="080E0000" w:usb2="00000010" w:usb3="00000000" w:csb0="00040001" w:csb1="00000000"/>
  </w:font>
  <w:font w:name="SimSun">
    <w:altName w:val="SimSun"/>
    <w:panose1 w:val="02010600030000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0"/>
    <w:family w:val="swiss"/>
    <w:pitch w:val="default"/>
    <w:sig w:usb0="E0002EFF" w:usb1="C000785B" w:usb2="00000009" w:usb3="00000000" w:csb0="400001FF" w:csb1="FFFF0000"/>
  </w:font>
  <w:font w:name="黑体">
    <w:altName w:val="SimSun"/>
    <w:panose1 w:val="02010600030000010101"/>
    <w:charset w:val="86"/>
    <w:family w:val="auto"/>
    <w:pitch w:val="default"/>
    <w:sig w:usb0="00000001" w:usb1="080E0000" w:usb2="00000010" w:usb3="00000000" w:csb0="00040000" w:csb1="00000000"/>
  </w:font>
  <w:font w:name="Courier New">
    <w:altName w:val="Courier New"/>
    <w:panose1 w:val="02070309020000020404"/>
    <w:charset w:val="00"/>
    <w:family w:val="modern"/>
    <w:pitch w:val="default"/>
    <w:sig w:usb0="E0002EFF" w:usb1="C0007843" w:usb2="00000009" w:usb3="00000000" w:csb0="400001FF" w:csb1="FFFF0000"/>
  </w:font>
  <w:font w:name="Calibri">
    <w:altName w:val="Calibri"/>
    <w:panose1 w:val="020f0502020000030204"/>
    <w:charset w:val="86"/>
    <w:family w:val="swiss"/>
    <w:pitch w:val="default"/>
    <w:sig w:usb0="E4002EFF" w:usb1="C000247B" w:usb2="00000009" w:usb3="00000000" w:csb0="200001FF" w:csb1="00000000"/>
  </w:font>
  <w:font w:name="Symbol">
    <w:altName w:val="Symbol"/>
    <w:panose1 w:val="05050102010000020507"/>
    <w:charset w:val="02"/>
    <w:family w:val="roman"/>
    <w:pitch w:val="default"/>
    <w:sig w:usb0="00000000" w:usb1="00000000" w:usb2="00000000" w:usb3="00000000" w:csb0="80000000" w:csb1="00000000"/>
  </w:font>
  <w:font w:name="Malgun Gothic Semilight">
    <w:altName w:val="Malgun Gothic Semilight"/>
    <w:panose1 w:val="020b0502040000020203"/>
    <w:charset w:val="86"/>
    <w:family w:val="auto"/>
    <w:pitch w:val="default"/>
    <w:sig w:usb0="900002AF" w:usb1="01D77CFB" w:usb2="00000012" w:usb3="00000000" w:csb0="203E01BD" w:csb1="D7FF0000"/>
  </w:font>
  <w:font w:name="Cambria">
    <w:altName w:val="Cambria"/>
    <w:panose1 w:val="02040503050000030204"/>
    <w:charset w:val="00"/>
    <w:family w:val="auto"/>
    <w:pitch w:val="default"/>
    <w:sig w:usb0="E00006FF" w:usb1="420024FF" w:usb2="02000000" w:usb3="00000000" w:csb0="2000019F" w:csb1="00000000"/>
  </w:font>
  <w:font w:name="Malgun Gothic">
    <w:altName w:val="Malgun Gothic"/>
    <w:panose1 w:val="020b0503020000020004"/>
    <w:charset w:val="81"/>
    <w:family w:val="auto"/>
    <w:pitch w:val="default"/>
    <w:sig w:usb0="9000002F" w:usb1="29D77CFB" w:usb2="00000012" w:usb3="00000000" w:csb0="00080001" w:csb1="00000000"/>
  </w:font>
  <w:font w:name="Bahnschrift Light">
    <w:altName w:val="Bahnschrift Light"/>
    <w:panose1 w:val="020b0502040000020203"/>
    <w:charset w:val="00"/>
    <w:family w:val="auto"/>
    <w:pitch w:val="default"/>
    <w:sig w:usb0="800002C7" w:usb1="00000002" w:usb2="00000000" w:usb3="00000000" w:csb0="2000019F" w:csb1="00000000"/>
  </w:font>
  <w:font w:name="Ravie">
    <w:altName w:val="Ravie"/>
    <w:panose1 w:val="04040805050000020602"/>
    <w:charset w:val="00"/>
    <w:family w:val="auto"/>
    <w:pitch w:val="default"/>
    <w:sig w:usb0="00000003" w:usb1="00000000" w:usb2="00000000" w:usb3="00000000" w:csb0="2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51957AE6"/>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rPr>
    </w:rPrDefault>
    <w:pPrDefault>
      <w:pPr/>
    </w:pPrDefault>
  </w:docDefaults>
  <w:style w:type="paragraph" w:default="1" w:styleId="style0">
    <w:name w:val="Normal"/>
    <w:next w:val="style0"/>
    <w:qFormat/>
    <w:uiPriority w:val="0"/>
    <w:pPr>
      <w:spacing w:after="200" w:lineRule="auto" w:line="276"/>
    </w:pPr>
    <w:rPr>
      <w:rFonts w:ascii="Calibri" w:cs="宋体" w:eastAsia="Calibri" w:hAnsi="Calibri"/>
      <w:sz w:val="22"/>
      <w:szCs w:val="22"/>
      <w:lang w:val="en-CA" w:bidi="ar-SA" w:eastAsia="en-US"/>
    </w:rPr>
  </w:style>
  <w:style w:type="character" w:default="1" w:styleId="style65">
    <w:name w:val="Default Paragraph Font"/>
    <w:next w:val="style65"/>
    <w:uiPriority w:val="1"/>
  </w:style>
  <w:style w:type="table" w:default="1" w:styleId="style105">
    <w:name w:val="Normal Table"/>
    <w:next w:val="style105"/>
    <w:uiPriority w:val="99"/>
    <w:pPr/>
    <w:rPr/>
    <w:tblPr>
      <w:tblCellMar>
        <w:top w:w="0" w:type="dxa"/>
        <w:left w:w="108" w:type="dxa"/>
        <w:bottom w:w="0" w:type="dxa"/>
        <w:right w:w="108" w:type="dxa"/>
      </w:tblCellMar>
    </w:tblPr>
    <w:tcPr>
      <w:tcBorders/>
    </w:tc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797</Words>
  <Pages>2</Pages>
  <Characters>4675</Characters>
  <Application>WPS Office</Application>
  <DocSecurity>0</DocSecurity>
  <Paragraphs>63</Paragraphs>
  <ScaleCrop>false</ScaleCrop>
  <LinksUpToDate>false</LinksUpToDate>
  <CharactersWithSpaces>5464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2020-11-24T18:02:00Z</dcterms:created>
  <dc:creator>Vienneau, Natacha</dc:creator>
  <lastModifiedBy>TECNO CC7</lastModifiedBy>
  <dcterms:modified xsi:type="dcterms:W3CDTF">2020-12-15T06:40:18Z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